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Достижения и преобразования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ГБУЗ «Пензенская областная детская клиническая больница   им. Н.Ф. Филатова»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последние пять лет было отмечено множество положительных моментов в жизнедеятельности Пензенской областной детской клинической больнице им. Н.Ф. Филатова. Благодаря реализации федеральных и региональных целевых программ, в том числе программы модернизации здравоохранения, существенно улучшилась материально-техническая база больницы, приобретено современное медицинское оборудование.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ноябре 2017 года  открылся новый перинатальный центр, куда переехали лечебно – диагностические и родильные отделения акушерского корпуса. Благодаря этому на освободившихся  площадях  началась масштабная  реконструкция  хирургического и акушерского корпусов больницы. Также в этот период  ГБУЗ ПОДКБ им. Н.Ф. Филатова  достигла снижения показателя младенческой смертности до уровня 4,0, что было ниже аналогичного показателя по Российской Федерации (5,1). </w:t>
      </w:r>
    </w:p>
    <w:p w:rsidR="00000000" w:rsidDel="00000000" w:rsidP="00000000" w:rsidRDefault="00000000" w:rsidRPr="00000000" w14:paraId="00000005">
      <w:pPr>
        <w:spacing w:after="0" w:before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январе 2019 года учреждение присоединилось к проекту по внедрению «бережливых технологий». Теперь маленьких пациентов на входе встречают ярко окрашенные стены, организовано пространство для детских игр, на телеэкранах транслируются мультфильмы о здоровом образе жизни. Кроме того, появилась современная комната матери и ребенка, где можно покормить и перепеленать малыша. </w:t>
      </w:r>
    </w:p>
    <w:p w:rsidR="00000000" w:rsidDel="00000000" w:rsidP="00000000" w:rsidRDefault="00000000" w:rsidRPr="00000000" w14:paraId="00000006">
      <w:pPr>
        <w:spacing w:after="0" w:before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изменения коснулись не только внешнего вида. Появилась открытая регистратура, процесс оформления медицинской документации и ожидания детей приема к врачам-специалистам стал комфортнее – это отмечают сами пациенты. </w:t>
      </w:r>
    </w:p>
    <w:p w:rsidR="00000000" w:rsidDel="00000000" w:rsidP="00000000" w:rsidRDefault="00000000" w:rsidRPr="00000000" w14:paraId="00000007">
      <w:pPr>
        <w:spacing w:after="0" w:before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Преображение поликлиники стало лишь началом изменений. В апреле 2020 года после реконструкции открылся хирургический корпус больницы. На этажах разместились отделения травматологии, нейрохирургии, плановой и экстренной хирургии, урологии, ЛОР и офтальмологии. В лечебных отделениях регулярно обновляется медицинское оборудование: за пять лет современным оборудованием пополнились офтальмологическое, физиотерапевтическое отделения. Поступило оборудование для проведения неонатального скрининга в лабораторной диагностике, аппарат для роботизированной механотерапии нижних конечностей коленного и тазобедренного суставов при проведении реабилитационных мероприятий детям, в центр здоровья для детей поступил аппаратно-программный комплекс для скрининг - оценки уровня психофизиологического и соматического здоровья ребёнка, а также оборудование для исследования функциональных возможностей детского организма и измерения параметров физического развития ребёнка. </w:t>
      </w:r>
    </w:p>
    <w:p w:rsidR="00000000" w:rsidDel="00000000" w:rsidP="00000000" w:rsidRDefault="00000000" w:rsidRPr="00000000" w14:paraId="00000008">
      <w:pPr>
        <w:spacing w:after="0" w:before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конце 2020 года в соответствии с планом реконструкции акушерского  корпуса планируется переезд лечебных подразделений педиатрического, ревматологического, неврологического профилей. Проведённая реконструкция позволит медицинскому персоналу в улучшенных и более комфортабельных условиях проводить маленьким пациентам  диагностические и лечебно – оздоровительные мероприятия </w:t>
      </w:r>
    </w:p>
    <w:p w:rsidR="00000000" w:rsidDel="00000000" w:rsidP="00000000" w:rsidRDefault="00000000" w:rsidRPr="00000000" w14:paraId="00000009">
      <w:pPr>
        <w:spacing w:after="0" w:before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главное – это люди, которые трудятся в стенах больницы. Специалисты регулярно повышают свою квалификацию, в учреждение приходят молодые кадры, готовые лечить маленьких пациентов с применением самых новых лечебных технологий. На базе Пензенской областной детской клинической больницы им. Филатова не раз проходили научные конференции, в том числе – международные. Так, в 2018 году  состоялась всероссийская педиатрическая научно-практическая конференция «Фармакотерапия и диетотерапия в педиатрической практике», посвященная 255-летию создания государственной системы охраны здоровья детей в России совместно с XVI Конгрессом педиатров Тюркского мира и Евразии. В работе конференции приняли участие ведущие педиатры, крупные ученые, практикующие врачи, представители государственных и общественных организаций, а также специалисты по детскому здоровью из Турции, Таджикистана, Азербайджана и Киргизии. Конференция 2018 года заложила традицию проведения ежегодных осенних «Филатовских чтений», которые посвящены проблемам и достижениям в области детского здравоохранения.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В настоящее время работа ГБУЗ ПОДКБ им. Н.Ф. Филатова направлена на выполнение задач, поставленных Правительством  и Министерством здравоохранения Пензенской области по сохранению здоровья детей и  обеспечение государственных гарантий в предоставлении бесплатной высококвалифицированной специализированной медицинской помощи  и сохранения здоровья детей Пензенской области.</w:t>
      </w:r>
    </w:p>
    <w:p w:rsidR="00000000" w:rsidDel="00000000" w:rsidP="00000000" w:rsidRDefault="00000000" w:rsidRPr="00000000" w14:paraId="0000000B">
      <w:pPr>
        <w:spacing w:after="160" w:before="0" w:lineRule="auto"/>
        <w:ind w:firstLine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968E2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ru-RU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yle14" w:customStyle="1">
    <w:name w:val="Основной текст Знак"/>
    <w:basedOn w:val="DefaultParagraphFont"/>
    <w:link w:val="a3"/>
    <w:qFormat w:val="1"/>
    <w:rsid w:val="009B3DF5"/>
    <w:rPr>
      <w:rFonts w:ascii="Times New Roman" w:cs="Mangal" w:eastAsia="NSimSun" w:hAnsi="Times New Roman"/>
      <w:kern w:val="2"/>
      <w:sz w:val="24"/>
      <w:szCs w:val="24"/>
      <w:lang w:bidi="hi-IN" w:eastAsia="zh-CN"/>
    </w:rPr>
  </w:style>
  <w:style w:type="paragraph" w:styleId="Style15">
    <w:name w:val="Заголовок"/>
    <w:basedOn w:val="Normal"/>
    <w:next w:val="Style16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Style16">
    <w:name w:val="Body Text"/>
    <w:basedOn w:val="Normal"/>
    <w:link w:val="a4"/>
    <w:rsid w:val="009B3DF5"/>
    <w:pPr>
      <w:suppressAutoHyphens w:val="1"/>
      <w:spacing w:after="140" w:before="0" w:line="276" w:lineRule="auto"/>
    </w:pPr>
    <w:rPr>
      <w:rFonts w:ascii="Times New Roman" w:cs="Mangal" w:eastAsia="NSimSun" w:hAnsi="Times New Roman"/>
      <w:kern w:val="2"/>
      <w:sz w:val="24"/>
      <w:szCs w:val="24"/>
      <w:lang w:bidi="hi-IN" w:eastAsia="zh-CN"/>
    </w:rPr>
  </w:style>
  <w:style w:type="paragraph" w:styleId="Style17">
    <w:name w:val="List"/>
    <w:basedOn w:val="Style16"/>
    <w:pPr/>
    <w:rPr>
      <w:rFonts w:ascii="Times New Roman" w:cs="Mangal" w:hAnsi="Times New Roman"/>
    </w:rPr>
  </w:style>
  <w:style w:type="paragraph" w:styleId="Style18">
    <w:name w:val="Caption"/>
    <w:basedOn w:val="Normal"/>
    <w:qFormat w:val="1"/>
    <w:pPr>
      <w:suppressLineNumbers w:val="1"/>
      <w:spacing w:after="120" w:before="120"/>
    </w:pPr>
    <w:rPr>
      <w:rFonts w:ascii="Times New Roman" w:cs="Mangal" w:hAnsi="Times New Roman"/>
      <w:i w:val="1"/>
      <w:iCs w:val="1"/>
      <w:sz w:val="24"/>
      <w:szCs w:val="24"/>
    </w:rPr>
  </w:style>
  <w:style w:type="paragraph" w:styleId="Style19">
    <w:name w:val="Указатель"/>
    <w:basedOn w:val="Normal"/>
    <w:qFormat w:val="1"/>
    <w:pPr>
      <w:suppressLineNumbers w:val="1"/>
    </w:pPr>
    <w:rPr>
      <w:rFonts w:ascii="Times New Roman" w:cs="Mangal" w:hAnsi="Times New Roman"/>
    </w:rPr>
  </w:style>
  <w:style w:type="paragraph" w:styleId="NormalWeb">
    <w:name w:val="Normal (Web)"/>
    <w:basedOn w:val="Normal"/>
    <w:semiHidden w:val="1"/>
    <w:qFormat w:val="1"/>
    <w:rsid w:val="00436FBD"/>
    <w:pPr>
      <w:spacing w:after="119" w:beforeAutospacing="1" w:line="240" w:lineRule="auto"/>
    </w:pPr>
    <w:rPr>
      <w:rFonts w:ascii="Arial Unicode MS" w:cs="Arial Unicode MS" w:eastAsia="Arial Unicode MS" w:hAnsi="Arial Unicode MS"/>
      <w:sz w:val="24"/>
      <w:szCs w:val="24"/>
      <w:lang w:eastAsia="ru-RU"/>
    </w:rPr>
  </w:style>
  <w:style w:type="paragraph" w:styleId="21" w:customStyle="1">
    <w:name w:val="Основной текст 21"/>
    <w:basedOn w:val="Normal"/>
    <w:qFormat w:val="1"/>
    <w:rsid w:val="007D0FB9"/>
    <w:pPr>
      <w:suppressAutoHyphens w:val="1"/>
      <w:spacing w:after="120" w:before="0" w:line="480" w:lineRule="auto"/>
      <w:ind w:firstLine="360"/>
      <w:textAlignment w:val="baseline"/>
    </w:pPr>
    <w:rPr>
      <w:rFonts w:ascii="Calibri" w:cs="Calibri" w:eastAsia="Calibri" w:hAnsi="Calibri"/>
      <w:kern w:val="2"/>
      <w:lang w:eastAsia="zh-CN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EjbyeyAsoB/3mXSDBQN/l/HySw==">AMUW2mXS6aLVFnAJapLzED+E04QpGdzg5Q1+y9+P1yW2CqKXo14qeIVPhrEfN61S06BIfLS+wx4WEeQw3baewew8OAZAUWXdNG/d1zAsFsFqgt2njV70cDw+zU5Fpjpn/9gis0I7UKKv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2020-07-22T06:16:00Z</dcterms:created>
  <dc:creator>365 Pro Plus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