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20 декабря 2012 г. N 1074н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специализированной медицинской помощи детям при задержке полового развития"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специализированной медицинской помощи детям при задержке полового развития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19 февраля 2013 г.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27191</w:t>
      </w:r>
    </w:p>
    <w:p w:rsidR="00000000" w:rsidDel="00000000" w:rsidP="00000000" w:rsidRDefault="00000000" w:rsidRPr="00000000" w14:paraId="0000000E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здравоохранения РФ</w:t>
      </w:r>
    </w:p>
    <w:p w:rsidR="00000000" w:rsidDel="00000000" w:rsidP="00000000" w:rsidRDefault="00000000" w:rsidRPr="00000000" w14:paraId="00000011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20 декабря 2012 г. N 1074н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специализированной медицинской помощи детям при задержке полового развития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21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3.513872910099"/>
        <w:gridCol w:w="670.7764944941655"/>
        <w:gridCol w:w="6091.221443619359"/>
        <w:tblGridChange w:id="0">
          <w:tblGrid>
            <w:gridCol w:w="2263.513872910099"/>
            <w:gridCol w:w="670.7764944941655"/>
            <w:gridCol w:w="6091.22144361935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fldChar w:fldCharType="begin"/>
              <w:instrText xml:space="preserve"> HYPERLINK "http://base.garant.ru/70325908/#block_3"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"http://base.garant.ru/4100000/#block_159230"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Е23.0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Гипопитуитаризм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"http://base.garant.ru/4100000/#block_3339"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Е28.3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Первичная яичниковая недостаточность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"http://base.garant.ru/4100000/#block_4012300"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Е30.0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Задержка полового созревания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"http://base.garant.ru/4100000/#block_3543"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Е89.3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Гипопитуитаризм, возникший после медицинских процедур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"http://base.garant.ru/4100000/#block_7844"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Q50.0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Врожденное отсутствие яичника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"http://base.garant.ru/4100000/#block_7885"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Q56.0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Гермафродитизм, не классифицированный в других рубриках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"http://base.garant.ru/4100000/#block_8081"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Q87.1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Синдромы врожденных аномалий, проявляющихся преимущественно карликовостью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"http://base.garant.ru/4100000/#block_136"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Q96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Синдром Тернера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"http://base.garant.ru/4100000/#block_8145"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Q97.3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Женщина с 46,ХY-кариотипом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"http://base.garant.ru/4100000/#block_8158"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Q99.0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Мозаик [химера] 46,XX/46,XY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"http://base.garant.ru/4100000/#block_8159"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Q99.1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46,ХХ истинный гермафродит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7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4.7182067230658"/>
        <w:gridCol w:w="5081.258759504079"/>
        <w:gridCol w:w="1450.1760146502477"/>
        <w:gridCol w:w="1289.3588301462319"/>
        <w:tblGridChange w:id="0">
          <w:tblGrid>
            <w:gridCol w:w="1204.7182067230658"/>
            <w:gridCol w:w="5081.258759504079"/>
            <w:gridCol w:w="1450.1760146502477"/>
            <w:gridCol w:w="1289.3588301462319"/>
          </w:tblGrid>
        </w:tblGridChange>
      </w:tblGrid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"http://base.garant.ru/70325908/#block_8"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онколога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врача-генетика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врача-психиатра детского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соматотропного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глюкокортикоидов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дегидроэпиандростерона сульфата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глобулина, связывающего половые гормоны,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Цитогенетическое исследование (кариотип)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Идентификация генов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(HBsAg Hepatitis В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вирусному гепатиту С (Hepatitis С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Ультразвуковая денситометрия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запястья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кисти руки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поясничного отдела позвоночника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1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4.7182067230658"/>
        <w:gridCol w:w="5081.258759504079"/>
        <w:gridCol w:w="1450.1760146502477"/>
        <w:gridCol w:w="1289.3588301462319"/>
        <w:tblGridChange w:id="0">
          <w:tblGrid>
            <w:gridCol w:w="1204.7182067230658"/>
            <w:gridCol w:w="5081.258759504079"/>
            <w:gridCol w:w="1450.1760146502477"/>
            <w:gridCol w:w="1289.3588301462319"/>
          </w:tblGrid>
        </w:tblGridChange>
      </w:tblGrid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врача-генетика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В01.035.004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врача-психиатра детского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эндокринолога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Взятие крови из пальца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А11.12.009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Взятие крови из периферической вены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Морфологическое исследование препарата тканей матки, придатков, стенки кишки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Морфологическое исследование препарата тканей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Гистологическое исследование препарата удаленного новообразования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препарата тканей яичников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рецепторов стероидных гормонов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Иммуноцитохимическое исследование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мутации генов в тканях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Иммуногистохимическое исследование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эстрогенов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альфа-1-гликопротеина (орозомукоида)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рилизинг-гормонов гипоталамуса (либеринов)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ингибирующих гормонов гипоталамуса (статинов)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андростендиона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3-андростендиол глюкоронида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опухолеассоциированных антигенов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гранулезоклеточной опухоли ингибина 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С-пептида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АЮ.30.001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Макроскопическое исследование удаленного операционного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A12.05.010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HLA-антигенов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гормонам гипофиза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реакции соматотропного гормона на гипергликемию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пробы с тиролиберином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A12.26.012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пробы с лекарственными препаратами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hyperlink r:id="rId16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 топометрическая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А06.20.002.004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Маммография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hyperlink r:id="rId17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Диагностическая лапароскопия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Зондирование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Оофорэктомия лапаротомическая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дисгенетичных гонад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А16.20.002.003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гонадальных тяжей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Сальпинго-оофорэктомия лапаротомическая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Сальпингэктомия лапаротомическая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Операции на клиторе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Феминизирующая пластика наружных гениталий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А16.21.010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Орхиэктомия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Лапаротомия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Дренаж перитонеальный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Иссечение сальника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А16.30.011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Разделение брюшинных спаек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Электрокоагуляция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hyperlink r:id="rId18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Диадинамотерапия (ДДТ)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лечебной грязью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парафином (озокеритом)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Оксигенотерапия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D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D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2D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0.0909928478483"/>
        <w:gridCol w:w="1856.2723326652927"/>
        <w:gridCol w:w="2542.1676813920576"/>
        <w:gridCol w:w="1399.0087668474494"/>
        <w:gridCol w:w="713.1134181206844"/>
        <w:gridCol w:w="868.256413666024"/>
        <w:gridCol w:w="786.6022054842663"/>
        <w:tblGridChange w:id="0">
          <w:tblGrid>
            <w:gridCol w:w="860.0909928478483"/>
            <w:gridCol w:w="1856.2723326652927"/>
            <w:gridCol w:w="2542.1676813920576"/>
            <w:gridCol w:w="1399.0087668474494"/>
            <w:gridCol w:w="713.1134181206844"/>
            <w:gridCol w:w="868.256413666024"/>
            <w:gridCol w:w="786.6022054842663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"http://base.garant.ru/70325908/#block_9"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"http://base.garant.ru/70325908/#block_10"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"http://base.garant.ru/70325908/#block_11"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А10ВА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Бигуаниды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Метформин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A10BG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Тиазолидиндионы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Росиглитазон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Природные и полусинтетические эстрогены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Эстрадиол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Гонадотропины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Гонадотропин хорионический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G03GB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Синтетические стимуляторы овуляции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Кломифен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Н03АА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Гормоны щитовидной железы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Левотироксин натрия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L02AE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Аналоги гонадотропинрилизинг гормона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Трипторелин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М03АС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Прочие четвертичные аммониевые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Пипекурония бромид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Рокурония бромид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Галогенизированные углеводороды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Севофлуран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Барбитураты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Тиопентал натрия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Опиоидные анальгетики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Фентанил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Тримеперидин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Пропофол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N01ВВ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Буливакаин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Ропивакаин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N05CD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Мидазолам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N07AA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Антихолинэстеразные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Неостигмина метилсульфат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Аминоалькильные эфиры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Дифенгидрамин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S01FA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Холиноблокаторы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Атропин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4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4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4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74.14720595823"/>
        <w:gridCol w:w="1382.8261210938379"/>
        <w:gridCol w:w="1468.538483971555"/>
        <w:tblGridChange w:id="0">
          <w:tblGrid>
            <w:gridCol w:w="6174.14720595823"/>
            <w:gridCol w:w="1382.8261210938379"/>
            <w:gridCol w:w="1468.53848397155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Вариант диеты с повышенным количеством белка (высокобелковая диета)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Вариант диеты с повышенным количеством белка (высокобелковая диета)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42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</w:t>
      </w:r>
    </w:p>
    <w:p w:rsidR="00000000" w:rsidDel="00000000" w:rsidP="00000000" w:rsidRDefault="00000000" w:rsidRPr="00000000" w14:paraId="0000042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1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42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42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42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42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42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4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4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Del="00000000" w:rsidP="00000000" w:rsidRDefault="00000000" w:rsidRPr="00000000" w14:paraId="000004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43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12191967/5/#block_375" TargetMode="External"/><Relationship Id="rId11" Type="http://schemas.openxmlformats.org/officeDocument/2006/relationships/hyperlink" Target="http://base.garant.ru/70131938/#block_1200" TargetMode="External"/><Relationship Id="rId10" Type="http://schemas.openxmlformats.org/officeDocument/2006/relationships/hyperlink" Target="http://base.garant.ru/70131938/#block_1200" TargetMode="External"/><Relationship Id="rId13" Type="http://schemas.openxmlformats.org/officeDocument/2006/relationships/hyperlink" Target="http://base.garant.ru/70131938/#block_1200" TargetMode="External"/><Relationship Id="rId12" Type="http://schemas.openxmlformats.org/officeDocument/2006/relationships/hyperlink" Target="http://base.garant.ru/70131938/#block_12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" TargetMode="External"/><Relationship Id="rId15" Type="http://schemas.openxmlformats.org/officeDocument/2006/relationships/hyperlink" Target="http://base.garant.ru/70131938/#block_1200" TargetMode="External"/><Relationship Id="rId14" Type="http://schemas.openxmlformats.org/officeDocument/2006/relationships/hyperlink" Target="http://base.garant.ru/70131938/#block_1200" TargetMode="External"/><Relationship Id="rId17" Type="http://schemas.openxmlformats.org/officeDocument/2006/relationships/hyperlink" Target="http://base.garant.ru/70131938/#block_1200" TargetMode="External"/><Relationship Id="rId16" Type="http://schemas.openxmlformats.org/officeDocument/2006/relationships/hyperlink" Target="http://base.garant.ru/70131938/#block_1200" TargetMode="External"/><Relationship Id="rId5" Type="http://schemas.openxmlformats.org/officeDocument/2006/relationships/styles" Target="styles.xml"/><Relationship Id="rId19" Type="http://schemas.openxmlformats.org/officeDocument/2006/relationships/hyperlink" Target="http://base.garant.ru/4100000/" TargetMode="External"/><Relationship Id="rId6" Type="http://schemas.openxmlformats.org/officeDocument/2006/relationships/hyperlink" Target="http://base.garant.ru/12191967/5/#block_37" TargetMode="External"/><Relationship Id="rId18" Type="http://schemas.openxmlformats.org/officeDocument/2006/relationships/hyperlink" Target="http://base.garant.ru/70131938/#block_1200" TargetMode="External"/><Relationship Id="rId7" Type="http://schemas.openxmlformats.org/officeDocument/2006/relationships/hyperlink" Target="http://base.garant.ru/70325908/#block_1" TargetMode="External"/><Relationship Id="rId8" Type="http://schemas.openxmlformats.org/officeDocument/2006/relationships/hyperlink" Target="http://base.garant.ru/703259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