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СТАНДАРТЫ, ПРИМЕНЯЕМЫЕ В ЛЕЧЕНИИ НЕВРОЛОГИЧЕСКИХ БОЛЬНЫХ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1) Приказ Министерства здравоохранения РФ от 28 декабря 2012г. №1623н "Об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утверждении стандарта специализированной медицинской помощи детям при параличе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Белла легкой степени тяжести"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2) Приказ Министерства здравоохранения РФ от 29 декабря 2012г. №1698н "Об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утверждении стандарта специализированной медицинской помощи детям при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наследственной и идиопатической невропатии"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3) Приказ Министерства здравоохранения РФ от 7 ноября 2012 г. №635н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"Об утверждении стандарта специализированной медицинской помощи при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внутричерепной травме"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4) Приказ Министерства здравоохранения РФ от 9 ноября 2012г. №720н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"Об утверждении стандарта специализированной медицинской помощи детям при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митохондриальной миопатии, синдроме Кернса-Сейра"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5) Приказ Министерства здравоохранения РФ от 9 ноября 2012г. №779н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"Об утверждении стандарта специализированной медицинской помощи детям при серозном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менингите средней степени тяжести"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6) Приказ Министерства здравоохранения РФ от 29 декабря 2012г. №1691н "Об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утверждении стандарта специализированной медицинской помощи детям при спинальных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мышечных атрофиях"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7) Приказ Министерства здравоохранения РФ от 29 декабря 2012г. №1695н "Об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утверждении стандарта специализированной медицинской помощи детям при эпилепсии"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8) Приказ Министерства здравоохранения РФ от 29 декабря 2012г. №1696н "Об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утверждении стандарта специализированной медицинской помощи детям при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экстрапирамидных и двигательных нарушениях"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9) Приказ Министерства здравоохранения РФ от 29 декабря 2012г. №1701н "Об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утверждении стандарта специализированной медицинской помощи детям при мышечной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дистонии"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 xml:space="preserve">10) Приказ Министерства здравоохранения РФ от 29 декабря 2012 г. №1702н "Об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  <w:t xml:space="preserve">утверждении стандарта специализированной медицинской помощи детям при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  <w:t xml:space="preserve">гидроцефалии.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  <w:t xml:space="preserve">11) Приказ Министерства здравоохранения РФ от 29 декабря 2012г. №1703н "Об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  <w:t xml:space="preserve">утверждении стандарта специализированной медицинской помощи детям при мигрени"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  <w:t xml:space="preserve">12) Приказ Министерства здравоохранения РФ от 18 октября 1999г. №378н "Об</w:t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  <w:t xml:space="preserve">организации работы учреждений медицинской и социальной реабилитации подростков с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  <w:t xml:space="preserve">последствиями детского церебрального паралича"</w:t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  <w:t xml:space="preserve">13) Приказ Управления Федеральной службы по надзору в сфере защиты прав</w:t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  <w:t xml:space="preserve">потребителей и благополучия человека по Пензенской области №82 от 14 июня 2012г. «О</w:t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  <w:t xml:space="preserve">совершенствовании эпидемиологического надзора за полиомиелитом и энтеровирусными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  <w:t xml:space="preserve">инфекциями»</w:t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  <w:t xml:space="preserve">14) Санитарно-эпидемиологические правила СП 3.1.2951-11-Профилактика</w:t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  <w:t xml:space="preserve">полиомиелита;</w:t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  <w:t xml:space="preserve">15) Приказ Министерства Здравоохранения РФ от 29 декабря 2012г. №1705н «О</w:t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  <w:t xml:space="preserve">порядке организации медицинской реабилитации»</w:t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  <w:t xml:space="preserve">16) Приказ Министерства Здравоохранения РФ от 29 ноября 2004 №288 «Об</w:t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  <w:t xml:space="preserve">утверждении стандарта медицинской помощи больным детским церебральным параличом»</w:t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  <w:t xml:space="preserve">17) Ст. 50 Федерального закона от 29 ноября 2010г. № 326-ФЗ «Об обязательном</w:t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  <w:t xml:space="preserve">медицинском страховании в Российской Федерации»;</w:t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  <w:t xml:space="preserve">18) Ст 37, ст.40 Федерального закона Российской Федерации от 21 ноября 2011г. N</w:t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  <w:t xml:space="preserve">323-ФЗ "Об основах охраны здоровья граждан в Российской Федерации»;</w:t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  <w:t xml:space="preserve">19) Стандарт специализированной медицинской помощи пари детском</w:t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  <w:t xml:space="preserve">церебральном параличе ( фаза медицинской реабилитации) от16.06.2015 года №349</w:t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  <w:t xml:space="preserve">Клинические рекомендации в детской неврологии</w:t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  <w:t xml:space="preserve">1) Клинические рекомендации в детской неврологии под редакцией В.И Гузевой -3</w:t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  <w:t xml:space="preserve">тома, от 2015.</w:t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  <w:t xml:space="preserve">2) Федеральные клинические рекомендации МЗ РФ Союза Педиатров России по</w:t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  <w:t xml:space="preserve">оказанию медицинской помощи детям с последствиями перинатального поражения</w:t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  <w:t xml:space="preserve">центральной нервной системы.</w:t>
      </w:r>
    </w:p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  <w:t xml:space="preserve">Актуальная информация .</w:t>
      </w:r>
    </w:p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  <w:t xml:space="preserve">На базе неврологического отделения В ГБУЗ ПОДКБ им.Н.Ф .Филатова активно проводится</w:t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  <w:t xml:space="preserve">реабилитация детей с поражениями цнс и детей с ДЦП.</w:t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  <w:t xml:space="preserve">В реабилитации применяется комплексное восстановительное лечение: медикаментозное</w:t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  <w:t xml:space="preserve">(ноотропы, сосудистая терапия, витаминотерапия), также физиотерапия (массаж, ЛФК,</w:t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  <w:t xml:space="preserve">гидротерапия, иглорефлексотерапия, дарсонваль, парафинотерапия, магнитотерапия, ГБО).</w:t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  <w:t xml:space="preserve">Осмотр детей проводится междисциплинарной бригадой (врачом неврологом, врачом</w:t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  <w:t xml:space="preserve">ортопедом, врачом педиатром, физиотерапевтом, логопедом) . Отмечается положительная</w:t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  <w:t xml:space="preserve">динамика и высокий реабилитационный потенциал на фоне проведенного лечения.</w:t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  <w:t xml:space="preserve">Также в 2016-2017 году врачами отделения проводится ботулинотерапия у детей с</w:t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  <w:t xml:space="preserve">церебральными параличами препаратами Ботокс и Диспорт для снятия спастичности у этих</w:t>
      </w:r>
    </w:p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tl w:val="0"/>
        </w:rPr>
        <w:t xml:space="preserve">детей.</w:t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  <w:t xml:space="preserve">На базе отделения активно функционирует кабинет ЭМГ ,где проводится обследование у</w:t>
      </w:r>
    </w:p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rtl w:val="0"/>
        </w:rPr>
        <w:t xml:space="preserve">детей с невропатиями верхних и нижних конечностей, с перенесенными</w:t>
      </w:r>
    </w:p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rtl w:val="0"/>
        </w:rPr>
        <w:t xml:space="preserve">полирадикулоневритами, с миопатиями и миодистрофиями.</w:t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